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86" w:rsidRDefault="0019646F">
      <w:pPr>
        <w:pStyle w:val="TitleA"/>
      </w:pPr>
      <w:bookmarkStart w:id="0" w:name="_GoBack"/>
      <w:bookmarkEnd w:id="0"/>
      <w:r>
        <w:t>Infant/Toddler Food Agreement</w:t>
      </w:r>
    </w:p>
    <w:p w:rsidR="00283486" w:rsidRDefault="00283486">
      <w:pPr>
        <w:jc w:val="center"/>
        <w:rPr>
          <w:rFonts w:ascii="Lucida Grande" w:hAnsi="Lucida Grande"/>
          <w:b/>
          <w:u w:val="single"/>
        </w:rPr>
      </w:pPr>
    </w:p>
    <w:p w:rsidR="00283486" w:rsidRDefault="00283486">
      <w:pPr>
        <w:jc w:val="center"/>
        <w:rPr>
          <w:rFonts w:ascii="Lucida Grande" w:hAnsi="Lucida Grande"/>
          <w:b/>
          <w:u w:val="single"/>
        </w:rPr>
      </w:pPr>
    </w:p>
    <w:p w:rsidR="00283486" w:rsidRDefault="0019646F">
      <w:pPr>
        <w:pStyle w:val="Heading1A"/>
      </w:pPr>
      <w:r>
        <w:t>Licensing Rule 400.8340</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b/>
        </w:rPr>
        <w:t>Rule 340</w:t>
      </w:r>
      <w:r>
        <w:rPr>
          <w:rFonts w:ascii="Lucida Grande" w:hAnsi="Lucida Grande"/>
        </w:rPr>
        <w:t>. (1)As used in this rule</w:t>
      </w:r>
    </w:p>
    <w:p w:rsidR="00283486" w:rsidRDefault="0019646F">
      <w:pPr>
        <w:numPr>
          <w:ilvl w:val="0"/>
          <w:numId w:val="1"/>
        </w:numPr>
        <w:tabs>
          <w:tab w:val="clear" w:pos="360"/>
          <w:tab w:val="num" w:pos="1080"/>
        </w:tabs>
        <w:ind w:left="1080" w:hanging="360"/>
        <w:rPr>
          <w:rFonts w:ascii="Lucida Grande" w:hAnsi="Lucida Grande"/>
        </w:rPr>
      </w:pPr>
      <w:r>
        <w:rPr>
          <w:rFonts w:ascii="Lucida Grande" w:hAnsi="Lucida Grande"/>
        </w:rPr>
        <w:t>“Same-day supply” means for use during a single day.</w:t>
      </w:r>
    </w:p>
    <w:p w:rsidR="00283486" w:rsidRDefault="0019646F">
      <w:pPr>
        <w:numPr>
          <w:ilvl w:val="0"/>
          <w:numId w:val="1"/>
        </w:numPr>
        <w:tabs>
          <w:tab w:val="clear" w:pos="360"/>
          <w:tab w:val="num" w:pos="1080"/>
        </w:tabs>
        <w:ind w:left="1080" w:hanging="360"/>
        <w:rPr>
          <w:rFonts w:ascii="Lucida Grande" w:hAnsi="Lucida Grande"/>
        </w:rPr>
      </w:pPr>
      <w:r>
        <w:rPr>
          <w:rFonts w:ascii="Lucida Grande" w:hAnsi="Lucida Grande"/>
        </w:rPr>
        <w:t>“Multi-day supply” means for use over a multiple day period, up to 7 days.</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(2) Breast milk, formula, milk, or other beverages provided in a same-day supply shall be furnished daily in either of the following:</w:t>
      </w:r>
    </w:p>
    <w:p w:rsidR="00283486" w:rsidRDefault="0019646F">
      <w:pPr>
        <w:numPr>
          <w:ilvl w:val="0"/>
          <w:numId w:val="2"/>
        </w:numPr>
        <w:tabs>
          <w:tab w:val="clear" w:pos="360"/>
          <w:tab w:val="num" w:pos="1080"/>
        </w:tabs>
        <w:ind w:left="1080" w:hanging="360"/>
        <w:rPr>
          <w:rFonts w:ascii="Lucida Grande" w:hAnsi="Lucida Grande"/>
        </w:rPr>
      </w:pPr>
      <w:r>
        <w:rPr>
          <w:rFonts w:ascii="Lucida Grande" w:hAnsi="Lucida Grande"/>
        </w:rPr>
        <w:t>Clean, sanitary, ready-to-feed bottles or beverage containers.</w:t>
      </w:r>
    </w:p>
    <w:p w:rsidR="00283486" w:rsidRDefault="0019646F">
      <w:pPr>
        <w:numPr>
          <w:ilvl w:val="0"/>
          <w:numId w:val="2"/>
        </w:numPr>
        <w:tabs>
          <w:tab w:val="clear" w:pos="360"/>
          <w:tab w:val="num" w:pos="1080"/>
        </w:tabs>
        <w:ind w:left="1080" w:hanging="360"/>
        <w:rPr>
          <w:rFonts w:ascii="Lucida Grande" w:hAnsi="Lucida Grande"/>
        </w:rPr>
      </w:pPr>
      <w:r>
        <w:rPr>
          <w:rFonts w:ascii="Lucida Grande" w:hAnsi="Lucida Grande"/>
        </w:rPr>
        <w:t>A clean, sanitary, beverage container.  The beverage shall be poured into a clean, sanitary bottle or beverage container before each feeding.</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(3) Breast milk, formula, milk, other beverages, and food furnished in a same-day supply shall be covered and labeled with the child’s first and last name and the date.</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(4) Any food or beverages furnished in a same-day supply shall be returned to the parent at the end of the day or discarded.</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(5) Milk, other beverages, and non-perishable food items may be furnished in a multi-day supply in an unopened commercial container.</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(6) Milk and other beverages furnished in a multi-day supply shall be labeled with the child’s first and last name and the date of opening and shall be returned to the parent or discarded 7 days after opening.</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(8) Beverages and food shall be fed only to the child for whom the item is labeled.</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(9) Breast milk, formula, and milk shall be refrigerated until used.</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(10) Other perishable beverages and food items shall be refrigerated or otherwise kept at a safe temperature until used.</w:t>
      </w:r>
    </w:p>
    <w:p w:rsidR="00283486" w:rsidRDefault="00283486">
      <w:pPr>
        <w:pStyle w:val="Heading1A"/>
      </w:pPr>
    </w:p>
    <w:p w:rsidR="00283486" w:rsidRDefault="0019646F">
      <w:pPr>
        <w:pStyle w:val="Heading1A"/>
      </w:pPr>
      <w:r>
        <w:t>R 400.8330 Food service &amp; nutrition generally</w:t>
      </w:r>
    </w:p>
    <w:p w:rsidR="00283486" w:rsidRDefault="00283486">
      <w:pPr>
        <w:rPr>
          <w:rFonts w:ascii="Lucida Grande" w:hAnsi="Lucida Grande"/>
          <w:b/>
        </w:rPr>
      </w:pPr>
    </w:p>
    <w:p w:rsidR="00283486" w:rsidRDefault="0019646F">
      <w:pPr>
        <w:pStyle w:val="Heading1A"/>
      </w:pPr>
      <w:r>
        <w:t xml:space="preserve">Rule 330  </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(3) Beverages &amp; food shall be appropriate for the child’s individual nutritional requirements, developmental stages, and special dietary needs, including cultural preferences.</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(7) Infants and toddlers shall be fed on demand.</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(11) A center shall not serve infants and toddlers or allow them to eat foods that may easily cause choking including, but not limited to popcorn, seeds, nuts, hard candy and uncut round foods such as whole grapes and hot dogs.</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(12) Cereal shall not be added to a bottle or beverage container without written parental permission.</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lastRenderedPageBreak/>
        <w:t>(16) The contents of a bottle or beverage container shall be discarded if any of the following apply:</w:t>
      </w:r>
    </w:p>
    <w:p w:rsidR="00283486" w:rsidRDefault="0019646F">
      <w:pPr>
        <w:numPr>
          <w:ilvl w:val="0"/>
          <w:numId w:val="3"/>
        </w:numPr>
        <w:tabs>
          <w:tab w:val="clear" w:pos="360"/>
          <w:tab w:val="num" w:pos="1080"/>
        </w:tabs>
        <w:ind w:left="1080" w:hanging="360"/>
        <w:rPr>
          <w:rFonts w:ascii="Lucida Grande" w:hAnsi="Lucida Grande"/>
        </w:rPr>
      </w:pPr>
      <w:r>
        <w:rPr>
          <w:rFonts w:ascii="Lucida Grande" w:hAnsi="Lucida Grande"/>
        </w:rPr>
        <w:t>The contents appear to be unsanitary.</w:t>
      </w:r>
    </w:p>
    <w:p w:rsidR="00283486" w:rsidRDefault="0019646F">
      <w:pPr>
        <w:numPr>
          <w:ilvl w:val="0"/>
          <w:numId w:val="3"/>
        </w:numPr>
        <w:tabs>
          <w:tab w:val="clear" w:pos="360"/>
          <w:tab w:val="num" w:pos="1080"/>
        </w:tabs>
        <w:ind w:left="1080" w:hanging="360"/>
        <w:rPr>
          <w:rFonts w:ascii="Lucida Grande" w:hAnsi="Lucida Grande"/>
        </w:rPr>
      </w:pPr>
      <w:r>
        <w:rPr>
          <w:rFonts w:ascii="Lucida Grande" w:hAnsi="Lucida Grande"/>
        </w:rPr>
        <w:t>The bottle or beverage container has been used for feeding for a period that exceeds 1 hour from the beginning of the feeding.</w:t>
      </w:r>
    </w:p>
    <w:p w:rsidR="00283486" w:rsidRDefault="0019646F">
      <w:pPr>
        <w:numPr>
          <w:ilvl w:val="0"/>
          <w:numId w:val="3"/>
        </w:numPr>
        <w:tabs>
          <w:tab w:val="clear" w:pos="360"/>
          <w:tab w:val="num" w:pos="1080"/>
        </w:tabs>
        <w:ind w:left="1080" w:hanging="360"/>
        <w:rPr>
          <w:rFonts w:ascii="Lucida Grande" w:hAnsi="Lucida Grande"/>
        </w:rPr>
      </w:pPr>
      <w:r>
        <w:rPr>
          <w:rFonts w:ascii="Lucida Grande" w:hAnsi="Lucida Grande"/>
        </w:rPr>
        <w:t>The bottle or beverage container requiring refrigeration has been unrefrigerated for 1 hour or more.</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(17) Formula and milk, including breast milk, left in a bottle or beverage container after a feeding shall not be reused.</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(18) Bottle propping is prohibited.</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(20) Infants or toddlers shall not have bottles, beverage containers, or food in sleeping equipment.</w:t>
      </w:r>
    </w:p>
    <w:p w:rsidR="00283486" w:rsidRDefault="00283486">
      <w:pPr>
        <w:rPr>
          <w:rFonts w:ascii="Lucida Grande" w:hAnsi="Lucida Grande"/>
        </w:rPr>
      </w:pPr>
    </w:p>
    <w:p w:rsidR="00283486" w:rsidRDefault="0019646F">
      <w:pPr>
        <w:rPr>
          <w:rFonts w:ascii="Lucida Grande" w:hAnsi="Lucida Grande"/>
        </w:rPr>
      </w:pPr>
      <w:r>
        <w:rPr>
          <w:rFonts w:ascii="Lucida Grande" w:hAnsi="Lucida Grande"/>
        </w:rPr>
        <w:t>(21) Children shall not have beverage containers or food while they are walking around or playing.</w:t>
      </w: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AC5F71" w:rsidRDefault="00AC5F71">
      <w:pPr>
        <w:rPr>
          <w:rFonts w:ascii="Lucida Grande" w:hAnsi="Lucida Grande"/>
        </w:rPr>
      </w:pPr>
      <w:r>
        <w:rPr>
          <w:rFonts w:ascii="Lucida Grande" w:hAnsi="Lucida Grande"/>
        </w:rPr>
        <w:t>______________________________________</w:t>
      </w:r>
      <w:r w:rsidR="0019646F">
        <w:rPr>
          <w:rFonts w:ascii="Lucida Grande" w:hAnsi="Lucida Grande"/>
        </w:rPr>
        <w:t>__________</w:t>
      </w:r>
      <w:r>
        <w:rPr>
          <w:rFonts w:ascii="Lucida Grande" w:hAnsi="Lucida Grande"/>
        </w:rPr>
        <w:t>__________________</w:t>
      </w:r>
    </w:p>
    <w:p w:rsidR="0019646F" w:rsidRDefault="0019646F">
      <w:pPr>
        <w:rPr>
          <w:rFonts w:ascii="Lucida Grande" w:hAnsi="Lucida Grande"/>
        </w:rPr>
      </w:pPr>
      <w:r>
        <w:rPr>
          <w:rFonts w:ascii="Lucida Grande" w:hAnsi="Lucida Grande"/>
        </w:rPr>
        <w:t>Infant/Toddler’s Name</w:t>
      </w: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r>
        <w:rPr>
          <w:rFonts w:ascii="Lucida Grande" w:hAnsi="Lucida Grande"/>
        </w:rPr>
        <w:t>________________________________________________________________________</w:t>
      </w:r>
    </w:p>
    <w:p w:rsidR="0019646F" w:rsidRDefault="0019646F">
      <w:pPr>
        <w:rPr>
          <w:rFonts w:ascii="Lucida Grande" w:hAnsi="Lucida Grande"/>
        </w:rPr>
      </w:pPr>
      <w:r>
        <w:rPr>
          <w:rFonts w:ascii="Lucida Grande" w:hAnsi="Lucida Grande"/>
        </w:rPr>
        <w:t>Parent/Guardian’s Signature</w:t>
      </w: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p>
    <w:p w:rsidR="0019646F" w:rsidRDefault="0019646F">
      <w:pPr>
        <w:rPr>
          <w:rFonts w:ascii="Lucida Grande" w:hAnsi="Lucida Grande"/>
        </w:rPr>
      </w:pPr>
      <w:r>
        <w:rPr>
          <w:rFonts w:ascii="Lucida Grande" w:hAnsi="Lucida Grande"/>
        </w:rPr>
        <w:t>_______________________________________________</w:t>
      </w:r>
    </w:p>
    <w:p w:rsidR="0019646F" w:rsidRDefault="0019646F">
      <w:pPr>
        <w:rPr>
          <w:rFonts w:ascii="Lucida Grande" w:hAnsi="Lucida Grande"/>
        </w:rPr>
      </w:pPr>
      <w:r>
        <w:rPr>
          <w:rFonts w:ascii="Lucida Grande" w:hAnsi="Lucida Grande"/>
        </w:rPr>
        <w:t>Date</w:t>
      </w:r>
    </w:p>
    <w:p w:rsidR="00283486" w:rsidRDefault="00283486">
      <w:pPr>
        <w:rPr>
          <w:rFonts w:eastAsia="Times New Roman"/>
          <w:color w:val="auto"/>
          <w:sz w:val="20"/>
        </w:rPr>
      </w:pPr>
    </w:p>
    <w:p w:rsidR="0019646F" w:rsidRDefault="0019646F">
      <w:pPr>
        <w:rPr>
          <w:rFonts w:eastAsia="Times New Roman"/>
          <w:color w:val="auto"/>
          <w:sz w:val="20"/>
        </w:rPr>
      </w:pPr>
    </w:p>
    <w:sectPr w:rsidR="0019646F" w:rsidSect="00283486">
      <w:pgSz w:w="12240" w:h="15840"/>
      <w:pgMar w:top="720" w:right="1800" w:bottom="720" w:left="180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17" w:rsidRDefault="007E7B17">
      <w:r>
        <w:separator/>
      </w:r>
    </w:p>
  </w:endnote>
  <w:endnote w:type="continuationSeparator" w:id="0">
    <w:p w:rsidR="007E7B17" w:rsidRDefault="007E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17" w:rsidRDefault="007E7B17">
      <w:r>
        <w:separator/>
      </w:r>
    </w:p>
  </w:footnote>
  <w:footnote w:type="continuationSeparator" w:id="0">
    <w:p w:rsidR="007E7B17" w:rsidRDefault="007E7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Letter"/>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
    <w:nsid w:val="00000002"/>
    <w:multiLevelType w:val="multilevel"/>
    <w:tmpl w:val="894EE874"/>
    <w:lvl w:ilvl="0">
      <w:start w:val="1"/>
      <w:numFmt w:val="lowerLetter"/>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2">
    <w:nsid w:val="00000003"/>
    <w:multiLevelType w:val="multilevel"/>
    <w:tmpl w:val="894EE875"/>
    <w:lvl w:ilvl="0">
      <w:start w:val="1"/>
      <w:numFmt w:val="lowerLetter"/>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71"/>
    <w:rsid w:val="00150A20"/>
    <w:rsid w:val="0019646F"/>
    <w:rsid w:val="00283486"/>
    <w:rsid w:val="00573759"/>
    <w:rsid w:val="007E7B17"/>
    <w:rsid w:val="00AC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83486"/>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83486"/>
    <w:rPr>
      <w:rFonts w:eastAsia="ヒラギノ角ゴ Pro W3"/>
      <w:color w:val="000000"/>
    </w:rPr>
  </w:style>
  <w:style w:type="paragraph" w:customStyle="1" w:styleId="TitleA">
    <w:name w:val="Title A"/>
    <w:rsid w:val="00283486"/>
    <w:pPr>
      <w:jc w:val="center"/>
    </w:pPr>
    <w:rPr>
      <w:rFonts w:ascii="Lucida Grande" w:eastAsia="ヒラギノ角ゴ Pro W3" w:hAnsi="Lucida Grande"/>
      <w:b/>
      <w:color w:val="000000"/>
      <w:sz w:val="24"/>
      <w:u w:val="single"/>
    </w:rPr>
  </w:style>
  <w:style w:type="paragraph" w:customStyle="1" w:styleId="Heading1A">
    <w:name w:val="Heading 1 A"/>
    <w:next w:val="Normal"/>
    <w:rsid w:val="00283486"/>
    <w:pPr>
      <w:keepNext/>
      <w:outlineLvl w:val="0"/>
    </w:pPr>
    <w:rPr>
      <w:rFonts w:ascii="Lucida Grande" w:eastAsia="ヒラギノ角ゴ Pro W3" w:hAnsi="Lucida Grande"/>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83486"/>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83486"/>
    <w:rPr>
      <w:rFonts w:eastAsia="ヒラギノ角ゴ Pro W3"/>
      <w:color w:val="000000"/>
    </w:rPr>
  </w:style>
  <w:style w:type="paragraph" w:customStyle="1" w:styleId="TitleA">
    <w:name w:val="Title A"/>
    <w:rsid w:val="00283486"/>
    <w:pPr>
      <w:jc w:val="center"/>
    </w:pPr>
    <w:rPr>
      <w:rFonts w:ascii="Lucida Grande" w:eastAsia="ヒラギノ角ゴ Pro W3" w:hAnsi="Lucida Grande"/>
      <w:b/>
      <w:color w:val="000000"/>
      <w:sz w:val="24"/>
      <w:u w:val="single"/>
    </w:rPr>
  </w:style>
  <w:style w:type="paragraph" w:customStyle="1" w:styleId="Heading1A">
    <w:name w:val="Heading 1 A"/>
    <w:next w:val="Normal"/>
    <w:rsid w:val="00283486"/>
    <w:pPr>
      <w:keepNext/>
      <w:outlineLvl w:val="0"/>
    </w:pPr>
    <w:rPr>
      <w:rFonts w:ascii="Lucida Grande" w:eastAsia="ヒラギノ角ゴ Pro W3" w:hAnsi="Lucida Grande"/>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Infant/Toddler Food Agreement</vt:lpstr>
    </vt:vector>
  </TitlesOfParts>
  <Company>Warren Woods Public Schools</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Infant/Toddler Food Agreement</dc:title>
  <dc:creator>Paul Russo</dc:creator>
  <cp:lastModifiedBy>Santamaria, Stacy</cp:lastModifiedBy>
  <cp:revision>2</cp:revision>
  <cp:lastPrinted>2014-01-10T12:07:00Z</cp:lastPrinted>
  <dcterms:created xsi:type="dcterms:W3CDTF">2016-03-14T12:30:00Z</dcterms:created>
  <dcterms:modified xsi:type="dcterms:W3CDTF">2016-03-14T12:30:00Z</dcterms:modified>
</cp:coreProperties>
</file>